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left"/>
        <w:rPr>
          <w:rFonts w:ascii="Arial Narrow" w:cs="Arial Narrow" w:eastAsia="Arial Narrow" w:hAnsi="Arial Narrow"/>
          <w:b w:val="1"/>
          <w:sz w:val="24"/>
          <w:szCs w:val="24"/>
        </w:rPr>
      </w:pPr>
      <w:bookmarkStart w:colFirst="0" w:colLast="0" w:name="_jw963hpbqrdp" w:id="0"/>
      <w:bookmarkEnd w:id="0"/>
      <w:r w:rsidDel="00000000" w:rsidR="00000000" w:rsidRPr="00000000">
        <w:rPr>
          <w:rFonts w:ascii="Arial Narrow" w:cs="Arial Narrow" w:eastAsia="Arial Narrow" w:hAnsi="Arial Narrow"/>
          <w:b w:val="1"/>
          <w:sz w:val="24"/>
          <w:szCs w:val="24"/>
          <w:rtl w:val="0"/>
        </w:rPr>
        <w:t xml:space="preserve">YAMOUSSOUKRO : LES ACTEURS DU SYSTÈME ÉDUCATIF EN CONCLAVE POUR PARTAGER LES BONNES PRATIQUES SUR LA DISTRIBUTION DES KITS SCOLAIRES</w:t>
      </w:r>
    </w:p>
    <w:p w:rsidR="00000000" w:rsidDel="00000000" w:rsidP="00000000" w:rsidRDefault="00000000" w:rsidRPr="00000000" w14:paraId="00000002">
      <w:pPr>
        <w:spacing w:after="0" w:lineRule="auto"/>
        <w:jc w:val="center"/>
        <w:rPr>
          <w:rFonts w:ascii="Arial Narrow" w:cs="Arial Narrow" w:eastAsia="Arial Narrow" w:hAnsi="Arial Narrow"/>
          <w:b w:val="1"/>
          <w:sz w:val="24"/>
          <w:szCs w:val="24"/>
        </w:rPr>
      </w:pPr>
      <w:bookmarkStart w:colFirst="0" w:colLast="0" w:name="_z14dko1kh4ut" w:id="1"/>
      <w:bookmarkEnd w:id="1"/>
      <w:r w:rsidDel="00000000" w:rsidR="00000000" w:rsidRPr="00000000">
        <w:rPr>
          <w:rtl w:val="0"/>
        </w:rPr>
      </w:r>
    </w:p>
    <w:p w:rsidR="00000000" w:rsidDel="00000000" w:rsidP="00000000" w:rsidRDefault="00000000" w:rsidRPr="00000000" w14:paraId="00000003">
      <w:pPr>
        <w:spacing w:after="0" w:lineRule="auto"/>
        <w:jc w:val="left"/>
        <w:rPr>
          <w:rFonts w:ascii="Arial Narrow" w:cs="Arial Narrow" w:eastAsia="Arial Narrow" w:hAnsi="Arial Narrow"/>
          <w:sz w:val="24"/>
          <w:szCs w:val="24"/>
        </w:rPr>
      </w:pPr>
      <w:bookmarkStart w:colFirst="0" w:colLast="0" w:name="_dzctuagq3b5" w:id="2"/>
      <w:bookmarkEnd w:id="2"/>
      <w:r w:rsidDel="00000000" w:rsidR="00000000" w:rsidRPr="00000000">
        <w:rPr>
          <w:rFonts w:ascii="Arial" w:cs="Arial" w:eastAsia="Arial" w:hAnsi="Arial"/>
          <w:color w:val="101010"/>
          <w:sz w:val="24"/>
          <w:szCs w:val="24"/>
          <w:highlight w:val="white"/>
          <w:rtl w:val="0"/>
        </w:rPr>
        <w:t xml:space="preserve">Les acteurs du système éducatif ivoirien sont en conclave du 31 janvier au 2 février 2024, à Yamoussoukro, pour </w:t>
      </w:r>
      <w:r w:rsidDel="00000000" w:rsidR="00000000" w:rsidRPr="00000000">
        <w:rPr>
          <w:rFonts w:ascii="Arial Narrow" w:cs="Arial Narrow" w:eastAsia="Arial Narrow" w:hAnsi="Arial Narrow"/>
          <w:sz w:val="24"/>
          <w:szCs w:val="24"/>
          <w:rtl w:val="0"/>
        </w:rPr>
        <w:t xml:space="preserve">partager les bonnes pratiques de distribution des kits scolaires ainsi que la construction des infrastructures scolaires et l’équipement des écoles en vue d’optimiser les résultats. </w:t>
      </w:r>
    </w:p>
    <w:p w:rsidR="00000000" w:rsidDel="00000000" w:rsidP="00000000" w:rsidRDefault="00000000" w:rsidRPr="00000000" w14:paraId="00000004">
      <w:pPr>
        <w:spacing w:after="0" w:lineRule="auto"/>
        <w:jc w:val="left"/>
        <w:rPr>
          <w:rFonts w:ascii="Arial Narrow" w:cs="Arial Narrow" w:eastAsia="Arial Narrow" w:hAnsi="Arial Narrow"/>
          <w:sz w:val="24"/>
          <w:szCs w:val="24"/>
        </w:rPr>
      </w:pPr>
      <w:bookmarkStart w:colFirst="0" w:colLast="0" w:name="_bf3u00hwz4cd" w:id="3"/>
      <w:bookmarkEnd w:id="3"/>
      <w:r w:rsidDel="00000000" w:rsidR="00000000" w:rsidRPr="00000000">
        <w:rPr>
          <w:rtl w:val="0"/>
        </w:rPr>
      </w:r>
    </w:p>
    <w:p w:rsidR="00000000" w:rsidDel="00000000" w:rsidP="00000000" w:rsidRDefault="00000000" w:rsidRPr="00000000" w14:paraId="00000005">
      <w:pPr>
        <w:spacing w:after="0" w:lineRule="auto"/>
        <w:jc w:val="left"/>
        <w:rPr>
          <w:rFonts w:ascii="Arial" w:cs="Arial" w:eastAsia="Arial" w:hAnsi="Arial"/>
          <w:color w:val="101010"/>
          <w:sz w:val="24"/>
          <w:szCs w:val="24"/>
          <w:highlight w:val="white"/>
        </w:rPr>
      </w:pPr>
      <w:bookmarkStart w:colFirst="0" w:colLast="0" w:name="_7aibaq2mqkx" w:id="4"/>
      <w:bookmarkEnd w:id="4"/>
      <w:r w:rsidDel="00000000" w:rsidR="00000000" w:rsidRPr="00000000">
        <w:rPr>
          <w:rFonts w:ascii="Arial Narrow" w:cs="Arial Narrow" w:eastAsia="Arial Narrow" w:hAnsi="Arial Narrow"/>
          <w:sz w:val="24"/>
          <w:szCs w:val="24"/>
          <w:rtl w:val="0"/>
        </w:rPr>
        <w:t xml:space="preserve">Cette rencontre </w:t>
      </w:r>
      <w:r w:rsidDel="00000000" w:rsidR="00000000" w:rsidRPr="00000000">
        <w:rPr>
          <w:rFonts w:ascii="Arial" w:cs="Arial" w:eastAsia="Arial" w:hAnsi="Arial"/>
          <w:color w:val="101010"/>
          <w:sz w:val="24"/>
          <w:szCs w:val="24"/>
          <w:highlight w:val="white"/>
          <w:rtl w:val="0"/>
        </w:rPr>
        <w:t xml:space="preserve">passera en revue la distribution des kits scolaires ainsi que la construction des infrastructures scolaires et l’équipement des écoles en vue d’identifier les goulots d’étranglements, d'échanger sur les activités de communication et de suivi/évaluation de ces actions, d'adopter des mesures de correction ou de renforcement des dispositions opérationnelles de la distribution des kits scolaires ainsi que de la construction des infrastructures scolaires et de l’équipement des écoles. </w:t>
      </w:r>
    </w:p>
    <w:p w:rsidR="00000000" w:rsidDel="00000000" w:rsidP="00000000" w:rsidRDefault="00000000" w:rsidRPr="00000000" w14:paraId="00000006">
      <w:pPr>
        <w:spacing w:after="0" w:lineRule="auto"/>
        <w:jc w:val="left"/>
        <w:rPr>
          <w:rFonts w:ascii="Arial" w:cs="Arial" w:eastAsia="Arial" w:hAnsi="Arial"/>
          <w:color w:val="101010"/>
          <w:sz w:val="24"/>
          <w:szCs w:val="24"/>
          <w:highlight w:val="white"/>
        </w:rPr>
      </w:pPr>
      <w:bookmarkStart w:colFirst="0" w:colLast="0" w:name="_gt22n8w3sw2f" w:id="5"/>
      <w:bookmarkEnd w:id="5"/>
      <w:r w:rsidDel="00000000" w:rsidR="00000000" w:rsidRPr="00000000">
        <w:rPr>
          <w:rtl w:val="0"/>
        </w:rPr>
      </w:r>
    </w:p>
    <w:p w:rsidR="00000000" w:rsidDel="00000000" w:rsidP="00000000" w:rsidRDefault="00000000" w:rsidRPr="00000000" w14:paraId="00000007">
      <w:pPr>
        <w:spacing w:after="0" w:lineRule="auto"/>
        <w:jc w:val="left"/>
        <w:rPr>
          <w:rFonts w:ascii="Arial Narrow" w:cs="Arial Narrow" w:eastAsia="Arial Narrow" w:hAnsi="Arial Narrow"/>
          <w:sz w:val="24"/>
          <w:szCs w:val="24"/>
        </w:rPr>
      </w:pPr>
      <w:bookmarkStart w:colFirst="0" w:colLast="0" w:name="_4hsx4kkhe71i" w:id="6"/>
      <w:bookmarkEnd w:id="6"/>
      <w:r w:rsidDel="00000000" w:rsidR="00000000" w:rsidRPr="00000000">
        <w:rPr>
          <w:rFonts w:ascii="Arial" w:cs="Arial" w:eastAsia="Arial" w:hAnsi="Arial"/>
          <w:color w:val="101010"/>
          <w:sz w:val="24"/>
          <w:szCs w:val="24"/>
          <w:highlight w:val="white"/>
          <w:rtl w:val="0"/>
        </w:rPr>
        <w:t xml:space="preserve">Aux constats, il s’avère que </w:t>
      </w:r>
      <w:r w:rsidDel="00000000" w:rsidR="00000000" w:rsidRPr="00000000">
        <w:rPr>
          <w:rFonts w:ascii="Arial Narrow" w:cs="Arial Narrow" w:eastAsia="Arial Narrow" w:hAnsi="Arial Narrow"/>
          <w:sz w:val="24"/>
          <w:szCs w:val="24"/>
          <w:rtl w:val="0"/>
        </w:rPr>
        <w:t xml:space="preserve">le déficit de communication entre les acteurs de la chaîne de distribution (Entreprises, DRENET, IEP, EPP), l’insuffisance des missions de suivi, de contrôle et d’évaluation faute de moyens financiers et de matériels roulants, l’absence de synergie d’action au niveau du ministère et des ONG donatrices, l’absence d’un mode opératoire consensuel qui définit clairement les étapes et les responsabilités des différents acteurs de la chaîne de distribution ect. ont montré les limites du mode opératoire.</w:t>
      </w:r>
    </w:p>
    <w:p w:rsidR="00000000" w:rsidDel="00000000" w:rsidP="00000000" w:rsidRDefault="00000000" w:rsidRPr="00000000" w14:paraId="00000008">
      <w:pPr>
        <w:spacing w:after="0" w:lineRule="auto"/>
        <w:jc w:val="center"/>
        <w:rPr>
          <w:rFonts w:ascii="Arial Narrow" w:cs="Arial Narrow" w:eastAsia="Arial Narrow" w:hAnsi="Arial Narrow"/>
          <w:sz w:val="24"/>
          <w:szCs w:val="24"/>
        </w:rPr>
      </w:pPr>
      <w:bookmarkStart w:colFirst="0" w:colLast="0" w:name="_j5la5s15mrbu" w:id="7"/>
      <w:bookmarkEnd w:id="7"/>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09">
      <w:pPr>
        <w:spacing w:after="0" w:lineRule="auto"/>
        <w:jc w:val="left"/>
        <w:rPr>
          <w:rFonts w:ascii="Arial Narrow" w:cs="Arial Narrow" w:eastAsia="Arial Narrow" w:hAnsi="Arial Narrow"/>
          <w:sz w:val="24"/>
          <w:szCs w:val="24"/>
        </w:rPr>
      </w:pPr>
      <w:bookmarkStart w:colFirst="0" w:colLast="0" w:name="_donlj26zlpk2" w:id="8"/>
      <w:bookmarkEnd w:id="8"/>
      <w:r w:rsidDel="00000000" w:rsidR="00000000" w:rsidRPr="00000000">
        <w:rPr>
          <w:rFonts w:ascii="Arial Narrow" w:cs="Arial Narrow" w:eastAsia="Arial Narrow" w:hAnsi="Arial Narrow"/>
          <w:sz w:val="24"/>
          <w:szCs w:val="24"/>
          <w:rtl w:val="0"/>
        </w:rPr>
        <w:t xml:space="preserve">Cet atelier permettra donc de faire </w:t>
      </w:r>
      <w:r w:rsidDel="00000000" w:rsidR="00000000" w:rsidRPr="00000000">
        <w:rPr>
          <w:rFonts w:ascii="Arial" w:cs="Arial" w:eastAsia="Arial" w:hAnsi="Arial"/>
          <w:color w:val="101010"/>
          <w:sz w:val="24"/>
          <w:szCs w:val="24"/>
          <w:highlight w:val="white"/>
          <w:rtl w:val="0"/>
        </w:rPr>
        <w:t xml:space="preserve">l'ét</w:t>
      </w:r>
      <w:r w:rsidDel="00000000" w:rsidR="00000000" w:rsidRPr="00000000">
        <w:rPr>
          <w:rFonts w:ascii="Arial Narrow" w:cs="Arial Narrow" w:eastAsia="Arial Narrow" w:hAnsi="Arial Narrow"/>
          <w:sz w:val="24"/>
          <w:szCs w:val="24"/>
          <w:rtl w:val="0"/>
        </w:rPr>
        <w:t xml:space="preserve">at des lieux de la mise à disposition des kits scolaires, d'examiner l’application des modes opératoires et la mise en œuvre des activités de communication et de suivi/évaluation de la distribution des kits et d'appliquer des mesures de correction ou de renforcement des dispositions opérationnelles.</w:t>
      </w:r>
    </w:p>
    <w:p w:rsidR="00000000" w:rsidDel="00000000" w:rsidP="00000000" w:rsidRDefault="00000000" w:rsidRPr="00000000" w14:paraId="0000000A">
      <w:pPr>
        <w:shd w:fill="ffffff" w:val="clear"/>
        <w:spacing w:after="0" w:line="240" w:lineRule="auto"/>
        <w:ind w:lef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B">
      <w:pPr>
        <w:shd w:fill="ffffff" w:val="clear"/>
        <w:spacing w:after="0" w:line="240" w:lineRule="auto"/>
        <w:ind w:left="0" w:firstLine="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Guy Martial Kouassi </w:t>
      </w:r>
    </w:p>
    <w:p w:rsidR="00000000" w:rsidDel="00000000" w:rsidP="00000000" w:rsidRDefault="00000000" w:rsidRPr="00000000" w14:paraId="0000000C">
      <w:pPr>
        <w:shd w:fill="ffffff" w:val="clear"/>
        <w:spacing w:after="0" w:line="240" w:lineRule="auto"/>
        <w:ind w:lef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D">
      <w:pPr>
        <w:shd w:fill="ffffff" w:val="clear"/>
        <w:spacing w:after="0" w:line="240" w:lineRule="auto"/>
        <w:ind w:lef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E">
      <w:pPr>
        <w:shd w:fill="ffffff" w:val="clear"/>
        <w:spacing w:after="0" w:line="240" w:lineRule="auto"/>
        <w:ind w:lef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F">
      <w:pPr>
        <w:shd w:fill="ffffff" w:val="clear"/>
        <w:spacing w:after="0" w:line="240" w:lineRule="auto"/>
        <w:ind w:lef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0">
      <w:pPr>
        <w:shd w:fill="ffffff" w:val="clear"/>
        <w:spacing w:after="0" w:line="240" w:lineRule="auto"/>
        <w:ind w:lef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1">
      <w:pPr>
        <w:shd w:fill="ffffff" w:val="clear"/>
        <w:spacing w:after="0" w:line="240" w:lineRule="auto"/>
        <w:ind w:lef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2">
      <w:pPr>
        <w:spacing w:after="0" w:lineRule="auto"/>
        <w:jc w:val="center"/>
        <w:rPr>
          <w:rFonts w:ascii="Arial Narrow" w:cs="Arial Narrow" w:eastAsia="Arial Narrow" w:hAnsi="Arial Narrow"/>
          <w:b w:val="0"/>
          <w:sz w:val="24"/>
          <w:szCs w:val="24"/>
          <w:vertAlign w:val="baseline"/>
        </w:rPr>
      </w:pPr>
      <w:r w:rsidDel="00000000" w:rsidR="00000000" w:rsidRPr="00000000">
        <w:rPr>
          <w:rtl w:val="0"/>
        </w:rPr>
      </w:r>
    </w:p>
    <w:sectPr>
      <w:pgSz w:h="16838" w:w="11906" w:orient="portrait"/>
      <w:pgMar w:bottom="851" w:top="709"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Narrow"/>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