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ssemblée Générale du RIP-EPT : Paul Gnélou réélu pour un nouveau manda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bidjan, 20 décembre 2024 - Le Réseau Ivoirien pour la Promotion de l’Éducation Pour Tous (RIP-EPT) a tenu vendredi, sa cinquième Assemblée Générale Ordinaire à la salle annexe du siège social du SNEPPCI. Cet événement, marqué par des échanges constructifs, avait pour objectif principal de dresser le bilan du mandat 2021-2024 et de renouveler les organes du résea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Retour sur les accomplisse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s membres du Conseil d'Administration ont pris connaissance des rapports moral et financier de l'équipe sortante, dirigée par Paul Gnélou. Les résultats de cette gestion ont été jugés satisfaisants, avec des financements significatifs obtenus grâce à des partenariats avec des organisations telles qu’Open Society West Africa et le Partenariat Mondial pour l’Éducation. Les bilans ont été adoptés à l'unanimité, témoignant de la confiance accordée par les acteurs éducatifs à la direction sortan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Renouvellement du leadership</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ns un contexte de renforcement de la gouvernance, Paul Gnélou s’est présenté pour un nouveau mandat de trois ans à la présidence. Sa candidature a été acclamée par les participants, consolidant ainsi la continuité à la tête du RIP-EPT. De même, l’équipe sortante des commissaires aux comptes a été réélue sans opposition. Ce renouvellement s’accompagne de l’entrée de trois nouvelles organisations, représentant des femmes, des jeunes et des personnes handicapées, élargissant ainsi la diversité et l’inclusivité au sein du Conseil d'Administration, qui passe de 11 à 14 membr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Un plan d’action ambitieux</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ssemblée a également permis de discuter des grandes lignes du plan d’action 2024-2026, centré sur la co-construction d’un système éducatif résilient. Le thème retenu, « Co-Construire un système éducatif résilient pour un accès accru à un apprentissage inclusif, qualitatif, tout au long de la vie et pertinent pour la Côte d’Ivoire », souligne l'engagement du RIP-EPT à répondre aux défis éducatifs du pay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erspectives d'aveni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e rendez-vous annuel a permis aux participants d’évaluer les nouvelles adhésions d’organisations de la société civile et de soumettre des statuts et règlements intérieurs révisés pour adoption. La dynamique engagée lors de cette assemblée marque une étape cruciale pour l'éducation en Côte d’Ivoire, avec des acteurs déterminés à travailler ensemble pour garantir un accès équitable à une éducation de qualité.</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e RIP-EPT, fort de ses nouvelles orientations et de l’engagement renouvelé de ses membres, se positionne ainsi comme un acteur clé dans la transformation du paysage éducatif ivoiri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Guy Martial KOUASS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